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15023" w:rsidRDefault="00A15023">
      <w:pPr>
        <w:pStyle w:val="Title"/>
        <w:contextualSpacing w:val="0"/>
        <w:jc w:val="center"/>
        <w:rPr>
          <w:rFonts w:ascii="Arial Unicode MS" w:eastAsia="Arial Unicode MS" w:hAnsi="Arial Unicode MS" w:cs="Arial Unicode MS"/>
          <w:color w:val="auto"/>
          <w:sz w:val="22"/>
          <w:szCs w:val="22"/>
        </w:rPr>
      </w:pPr>
      <w:bookmarkStart w:id="0" w:name="_r20n9lsbm9f2" w:colFirst="0" w:colLast="0"/>
      <w:bookmarkEnd w:id="0"/>
    </w:p>
    <w:p w:rsidR="00A15023" w:rsidRDefault="00A15023">
      <w:pPr>
        <w:pStyle w:val="Title"/>
        <w:contextualSpacing w:val="0"/>
        <w:jc w:val="center"/>
        <w:rPr>
          <w:rFonts w:ascii="Arial Unicode MS" w:eastAsia="Arial Unicode MS" w:hAnsi="Arial Unicode MS" w:cs="Arial Unicode MS"/>
          <w:color w:val="auto"/>
          <w:sz w:val="22"/>
          <w:szCs w:val="22"/>
        </w:rPr>
      </w:pPr>
    </w:p>
    <w:p w:rsidR="003F33F5" w:rsidRDefault="00A15023">
      <w:pPr>
        <w:pStyle w:val="Title"/>
        <w:contextualSpacing w:val="0"/>
        <w:jc w:val="center"/>
        <w:rPr>
          <w:rFonts w:ascii="Arial Unicode MS" w:eastAsia="Arial Unicode MS" w:hAnsi="Arial Unicode MS" w:cs="Arial Unicode MS"/>
          <w:color w:val="auto"/>
          <w:sz w:val="22"/>
          <w:szCs w:val="22"/>
        </w:rPr>
      </w:pPr>
      <w:r w:rsidRPr="00A15023">
        <w:rPr>
          <w:rFonts w:ascii="Arial Unicode MS" w:eastAsia="Arial Unicode MS" w:hAnsi="Arial Unicode MS" w:cs="Arial Unicode MS"/>
          <w:color w:val="auto"/>
          <w:sz w:val="22"/>
          <w:szCs w:val="22"/>
        </w:rPr>
        <w:t xml:space="preserve">გრიფირებულ სახელმძღვანელოებზე ქონებრივი უფლებების  შეძენისა და ანაზღაურების მოცულობის განსაზღვრის მოდელები </w:t>
      </w:r>
    </w:p>
    <w:p w:rsidR="00A15023" w:rsidRPr="00A15023" w:rsidRDefault="00A15023" w:rsidP="00A15023"/>
    <w:p w:rsidR="003F33F5" w:rsidRPr="00A15023" w:rsidRDefault="00A15023">
      <w:pPr>
        <w:pStyle w:val="Heading1"/>
        <w:numPr>
          <w:ilvl w:val="0"/>
          <w:numId w:val="1"/>
        </w:numPr>
        <w:ind w:left="384" w:hanging="360"/>
        <w:rPr>
          <w:color w:val="auto"/>
          <w:sz w:val="22"/>
          <w:szCs w:val="22"/>
        </w:rPr>
      </w:pPr>
      <w:bookmarkStart w:id="1" w:name="_8vlzedvonhut" w:colFirst="0" w:colLast="0"/>
      <w:bookmarkEnd w:id="1"/>
      <w:r w:rsidRPr="00A15023">
        <w:rPr>
          <w:rFonts w:ascii="Arial Unicode MS" w:eastAsia="Arial Unicode MS" w:hAnsi="Arial Unicode MS" w:cs="Arial Unicode MS"/>
          <w:color w:val="auto"/>
          <w:sz w:val="22"/>
          <w:szCs w:val="22"/>
        </w:rPr>
        <w:t xml:space="preserve">სახელმწიფო შესყიდვის ობიექტი </w:t>
      </w:r>
    </w:p>
    <w:p w:rsidR="003F33F5" w:rsidRPr="00A15023" w:rsidRDefault="00A15023">
      <w:pPr>
        <w:jc w:val="both"/>
        <w:rPr>
          <w:rFonts w:ascii="Times New Roman" w:eastAsia="Times New Roman" w:hAnsi="Times New Roman" w:cs="Times New Roman"/>
          <w:color w:val="auto"/>
        </w:rPr>
      </w:pPr>
      <w:r w:rsidRPr="00A15023">
        <w:rPr>
          <w:rFonts w:ascii="Arial Unicode MS" w:eastAsia="Arial Unicode MS" w:hAnsi="Arial Unicode MS" w:cs="Arial Unicode MS"/>
          <w:color w:val="auto"/>
        </w:rPr>
        <w:t xml:space="preserve">შესყიდვის ობიექტს წარმოადგენს გრიფმინიჭებული სახელმძღვანელოს/სერიის (მოცემულ შემთხვევაში: I-IV ან V-VI კლასებისათვის) რეპროდუცირების, გავრცელების/მფლობელობის სხვა ფორმით გადაცემისა და ნაწარმოების სხვაგვარი გამოყენების უფლება  (შემდეგში - ქონებრივი უფლება). </w:t>
      </w:r>
    </w:p>
    <w:p w:rsidR="003F33F5" w:rsidRPr="00A15023" w:rsidRDefault="003F33F5">
      <w:pPr>
        <w:jc w:val="both"/>
        <w:rPr>
          <w:rFonts w:ascii="Times New Roman" w:eastAsia="Times New Roman" w:hAnsi="Times New Roman" w:cs="Times New Roman"/>
          <w:color w:val="auto"/>
        </w:rPr>
      </w:pPr>
    </w:p>
    <w:p w:rsidR="003F33F5" w:rsidRPr="00A15023" w:rsidRDefault="00A15023">
      <w:pPr>
        <w:jc w:val="both"/>
        <w:rPr>
          <w:rFonts w:ascii="Times New Roman" w:eastAsia="Times New Roman" w:hAnsi="Times New Roman" w:cs="Times New Roman"/>
          <w:color w:val="auto"/>
        </w:rPr>
      </w:pPr>
      <w:r w:rsidRPr="00A15023">
        <w:rPr>
          <w:rFonts w:ascii="Arial Unicode MS" w:eastAsia="Arial Unicode MS" w:hAnsi="Arial Unicode MS" w:cs="Arial Unicode MS"/>
          <w:color w:val="auto"/>
        </w:rPr>
        <w:t xml:space="preserve">ეს უფლება ვრცელდება ნაწარმოებზე - გრიფმინიჭებულ მოსწავლის წიგნზე, რვეულზე, მასწავლებლის წიგნზე და შესაბამის ელექტრონულ რესურსზე, რომელიც არსებობს ობიექტური ფორმით, მიუხედავად იმისა, მოხდა თუ არა მისი გამოცემა ან საჯარო გაცნობა. </w:t>
      </w:r>
    </w:p>
    <w:p w:rsidR="003F33F5" w:rsidRPr="00A15023" w:rsidRDefault="00A15023">
      <w:pPr>
        <w:jc w:val="both"/>
        <w:rPr>
          <w:rFonts w:ascii="Times New Roman" w:eastAsia="Times New Roman" w:hAnsi="Times New Roman" w:cs="Times New Roman"/>
          <w:color w:val="auto"/>
        </w:rPr>
      </w:pPr>
      <w:r w:rsidRPr="00A15023">
        <w:rPr>
          <w:rFonts w:ascii="Arial Unicode MS" w:eastAsia="Arial Unicode MS" w:hAnsi="Arial Unicode MS" w:cs="Arial Unicode MS"/>
          <w:color w:val="auto"/>
        </w:rPr>
        <w:t>(იხ. პროექტი “სალიცენზიო  ხელშეკრულების დადების წესი და პირობები”, მუხლი 2 და 4).</w:t>
      </w:r>
    </w:p>
    <w:p w:rsidR="003F33F5" w:rsidRPr="00A15023" w:rsidRDefault="00A15023" w:rsidP="00A15023">
      <w:pPr>
        <w:pStyle w:val="Heading1"/>
        <w:numPr>
          <w:ilvl w:val="0"/>
          <w:numId w:val="1"/>
        </w:numPr>
        <w:ind w:left="0" w:firstLine="0"/>
        <w:rPr>
          <w:color w:val="auto"/>
          <w:sz w:val="22"/>
          <w:szCs w:val="22"/>
        </w:rPr>
      </w:pPr>
      <w:bookmarkStart w:id="2" w:name="_gv3ozdq4mrk2" w:colFirst="0" w:colLast="0"/>
      <w:bookmarkEnd w:id="2"/>
      <w:r w:rsidRPr="00A15023">
        <w:rPr>
          <w:rFonts w:ascii="Arial Unicode MS" w:eastAsia="Arial Unicode MS" w:hAnsi="Arial Unicode MS" w:cs="Arial Unicode MS"/>
          <w:color w:val="auto"/>
          <w:sz w:val="22"/>
          <w:szCs w:val="22"/>
        </w:rPr>
        <w:t>ანაზღაურების პერიოდი და მოცულობა</w:t>
      </w:r>
    </w:p>
    <w:p w:rsidR="003F33F5" w:rsidRPr="00A15023" w:rsidRDefault="00A15023">
      <w:pPr>
        <w:jc w:val="both"/>
        <w:rPr>
          <w:rFonts w:ascii="Times New Roman" w:eastAsia="Times New Roman" w:hAnsi="Times New Roman" w:cs="Times New Roman"/>
          <w:color w:val="auto"/>
        </w:rPr>
      </w:pPr>
      <w:r w:rsidRPr="00A15023">
        <w:rPr>
          <w:rFonts w:ascii="Arial Unicode MS" w:eastAsia="Arial Unicode MS" w:hAnsi="Arial Unicode MS" w:cs="Arial Unicode MS"/>
          <w:color w:val="auto"/>
        </w:rPr>
        <w:t>შესყიდვის ობიექტზე ანაზღაურება წარმოადგენს საავტორო ჰონორარს, რომლის  სტრუქტურა განისაზღვრება საბაზისო (ფიქსირებული) და ტირაჟის ოდენობის მიხედვით.</w:t>
      </w:r>
    </w:p>
    <w:p w:rsidR="003F33F5" w:rsidRPr="00A15023" w:rsidRDefault="00A15023">
      <w:pPr>
        <w:pStyle w:val="Heading2"/>
        <w:contextualSpacing w:val="0"/>
        <w:jc w:val="both"/>
        <w:rPr>
          <w:color w:val="auto"/>
        </w:rPr>
      </w:pPr>
      <w:bookmarkStart w:id="3" w:name="_nmnr1127ke1y" w:colFirst="0" w:colLast="0"/>
      <w:bookmarkEnd w:id="3"/>
      <w:r w:rsidRPr="00A15023">
        <w:rPr>
          <w:rFonts w:ascii="Arial Unicode MS" w:eastAsia="Arial Unicode MS" w:hAnsi="Arial Unicode MS" w:cs="Arial Unicode MS"/>
          <w:color w:val="auto"/>
        </w:rPr>
        <w:t>ა</w:t>
      </w:r>
      <w:r w:rsidRPr="00A15023">
        <w:rPr>
          <w:color w:val="auto"/>
        </w:rPr>
        <w:t xml:space="preserve">) </w:t>
      </w:r>
      <w:r w:rsidRPr="00A15023">
        <w:rPr>
          <w:rFonts w:ascii="Arial Unicode MS" w:eastAsia="Arial Unicode MS" w:hAnsi="Arial Unicode MS" w:cs="Arial Unicode MS"/>
          <w:color w:val="auto"/>
        </w:rPr>
        <w:t xml:space="preserve">საბაზისო (ფიქსირებული) ჰონორარი </w:t>
      </w:r>
    </w:p>
    <w:p w:rsidR="003F33F5" w:rsidRPr="00A15023" w:rsidRDefault="00A15023">
      <w:pPr>
        <w:ind w:left="468"/>
        <w:jc w:val="both"/>
        <w:rPr>
          <w:color w:val="auto"/>
        </w:rPr>
      </w:pPr>
      <w:r w:rsidRPr="00A15023">
        <w:rPr>
          <w:rFonts w:ascii="Arial Unicode MS" w:eastAsia="Arial Unicode MS" w:hAnsi="Arial Unicode MS" w:cs="Arial Unicode MS"/>
          <w:color w:val="auto"/>
        </w:rPr>
        <w:t>წარმოადგენს გრიფმინიჭებული სახელმძღვანელოს/სერიის მომზადებისათვის გაწეული ხარჯის  ასანაზღაურებელ ფიქსირებულ ოდენობას, რომელიც გაიცემა ერთჯერადად, სალიცენზიო ხელშეკრულების დადების შემდეგ. მისი დაწესება მნიშვნელოვნად ამცირებს საავტორო უფლების მფლობელის ჰონორარის დამოკიდებულებას ბეჭდვის ტირაჟზე, სატენდერო ფასდაკლებების შედეგებზე და აძლევს მას  საშუალებას მაქსიმალური კონცენტრაცია სახელმძღვანელოს ხარისხზე მოახდინოს</w:t>
      </w:r>
      <w:r w:rsidRPr="00A15023">
        <w:rPr>
          <w:color w:val="auto"/>
        </w:rPr>
        <w:t xml:space="preserve">. </w:t>
      </w:r>
      <w:r w:rsidRPr="00A15023">
        <w:rPr>
          <w:rFonts w:ascii="Arial Unicode MS" w:eastAsia="Arial Unicode MS" w:hAnsi="Arial Unicode MS" w:cs="Arial Unicode MS"/>
          <w:color w:val="auto"/>
        </w:rPr>
        <w:t xml:space="preserve">საბაზისო (ფიქსირებული) ჰონორარის ოდენობა იცვლება  სერიის კომპლექტაციაში შემავალი კომპონენტების მიხედვით (იხ. “სახელმძღვანელოს კომპლექტაცია </w:t>
      </w:r>
      <w:r w:rsidRPr="00A15023">
        <w:rPr>
          <w:color w:val="auto"/>
        </w:rPr>
        <w:t>(</w:t>
      </w:r>
      <w:r w:rsidRPr="00A15023">
        <w:rPr>
          <w:rFonts w:ascii="Arial Unicode MS" w:eastAsia="Arial Unicode MS" w:hAnsi="Arial Unicode MS" w:cs="Arial Unicode MS"/>
          <w:color w:val="auto"/>
        </w:rPr>
        <w:t xml:space="preserve">შესარჩევი ერთეულები)” და </w:t>
      </w:r>
      <w:r w:rsidRPr="00A15023">
        <w:rPr>
          <w:color w:val="auto"/>
        </w:rPr>
        <w:t>“</w:t>
      </w:r>
      <w:r w:rsidRPr="00A15023">
        <w:rPr>
          <w:rFonts w:ascii="Arial Unicode MS" w:eastAsia="Arial Unicode MS" w:hAnsi="Arial Unicode MS" w:cs="Arial Unicode MS"/>
          <w:color w:val="auto"/>
        </w:rPr>
        <w:t>საავტორო</w:t>
      </w:r>
      <w:r w:rsidRPr="00A15023">
        <w:rPr>
          <w:color w:val="auto"/>
        </w:rPr>
        <w:t xml:space="preserve"> </w:t>
      </w:r>
      <w:r w:rsidRPr="00A15023">
        <w:rPr>
          <w:rFonts w:ascii="Arial Unicode MS" w:eastAsia="Arial Unicode MS" w:hAnsi="Arial Unicode MS" w:cs="Arial Unicode MS"/>
          <w:color w:val="auto"/>
        </w:rPr>
        <w:t>ჰონორარი</w:t>
      </w:r>
      <w:r w:rsidRPr="00A15023">
        <w:rPr>
          <w:color w:val="auto"/>
        </w:rPr>
        <w:t xml:space="preserve"> </w:t>
      </w:r>
      <w:r w:rsidRPr="00A15023">
        <w:rPr>
          <w:rFonts w:ascii="Arial Unicode MS" w:eastAsia="Arial Unicode MS" w:hAnsi="Arial Unicode MS" w:cs="Arial Unicode MS"/>
          <w:color w:val="auto"/>
        </w:rPr>
        <w:t>გრიფმინიჭებულ</w:t>
      </w:r>
      <w:r w:rsidRPr="00A15023">
        <w:rPr>
          <w:color w:val="auto"/>
        </w:rPr>
        <w:t xml:space="preserve"> </w:t>
      </w:r>
      <w:r w:rsidRPr="00A15023">
        <w:rPr>
          <w:rFonts w:ascii="Arial Unicode MS" w:eastAsia="Arial Unicode MS" w:hAnsi="Arial Unicode MS" w:cs="Arial Unicode MS"/>
          <w:color w:val="auto"/>
        </w:rPr>
        <w:t>სახელმძღვანელოზე</w:t>
      </w:r>
      <w:r w:rsidRPr="00A15023">
        <w:rPr>
          <w:color w:val="auto"/>
        </w:rPr>
        <w:t>/</w:t>
      </w:r>
      <w:r w:rsidRPr="00A15023">
        <w:rPr>
          <w:rFonts w:ascii="Arial Unicode MS" w:eastAsia="Arial Unicode MS" w:hAnsi="Arial Unicode MS" w:cs="Arial Unicode MS"/>
          <w:color w:val="auto"/>
        </w:rPr>
        <w:t>სერიაზე</w:t>
      </w:r>
      <w:r w:rsidRPr="00A15023">
        <w:rPr>
          <w:color w:val="auto"/>
        </w:rPr>
        <w:t>”).</w:t>
      </w:r>
    </w:p>
    <w:p w:rsidR="003F33F5" w:rsidRPr="00A15023" w:rsidRDefault="00A15023" w:rsidP="00A15023">
      <w:pPr>
        <w:pStyle w:val="Heading2"/>
        <w:ind w:left="450" w:firstLine="18"/>
        <w:contextualSpacing w:val="0"/>
        <w:jc w:val="both"/>
        <w:rPr>
          <w:color w:val="auto"/>
        </w:rPr>
      </w:pPr>
      <w:bookmarkStart w:id="4" w:name="_87wfn5svtnxl" w:colFirst="0" w:colLast="0"/>
      <w:bookmarkEnd w:id="4"/>
      <w:r w:rsidRPr="00A15023">
        <w:rPr>
          <w:rFonts w:ascii="Arial Unicode MS" w:eastAsia="Arial Unicode MS" w:hAnsi="Arial Unicode MS" w:cs="Arial Unicode MS"/>
          <w:color w:val="auto"/>
        </w:rPr>
        <w:lastRenderedPageBreak/>
        <w:t>ბ</w:t>
      </w:r>
      <w:r w:rsidRPr="00A15023">
        <w:rPr>
          <w:color w:val="auto"/>
        </w:rPr>
        <w:t xml:space="preserve">) </w:t>
      </w:r>
      <w:r w:rsidRPr="00A15023">
        <w:rPr>
          <w:rFonts w:ascii="Arial Unicode MS" w:eastAsia="Arial Unicode MS" w:hAnsi="Arial Unicode MS" w:cs="Arial Unicode MS"/>
          <w:color w:val="auto"/>
        </w:rPr>
        <w:t>ელექტრონული რესურსების (მოსწავლის ან მასწავლებლის წიგნისათვის)</w:t>
      </w:r>
      <w:r w:rsidRPr="00A15023">
        <w:rPr>
          <w:color w:val="auto"/>
        </w:rPr>
        <w:t xml:space="preserve"> </w:t>
      </w:r>
      <w:r w:rsidRPr="00A15023">
        <w:rPr>
          <w:rFonts w:ascii="Arial Unicode MS" w:eastAsia="Arial Unicode MS" w:hAnsi="Arial Unicode MS" w:cs="Arial Unicode MS"/>
          <w:color w:val="auto"/>
        </w:rPr>
        <w:t xml:space="preserve">ფიქსირებული ანაზღაურება </w:t>
      </w:r>
    </w:p>
    <w:p w:rsidR="003F33F5" w:rsidRPr="00A15023" w:rsidRDefault="00A15023">
      <w:pPr>
        <w:ind w:left="468"/>
        <w:jc w:val="both"/>
        <w:rPr>
          <w:color w:val="auto"/>
        </w:rPr>
      </w:pPr>
      <w:r w:rsidRPr="00A15023">
        <w:rPr>
          <w:rFonts w:ascii="Arial Unicode MS" w:eastAsia="Arial Unicode MS" w:hAnsi="Arial Unicode MS" w:cs="Arial Unicode MS"/>
          <w:color w:val="auto"/>
        </w:rPr>
        <w:t>იმ სახელმძღვანელოების/სერიისათვის, რომლის კომპლექტაცია შედგება მოსწავლის ან/და მასწავლებლის წიგნისათვის განკუთვნილი ელექტრონული რესურსისაგან, I-IV კლასების სერიაზე ანაზღაურება განისაზღვრება 6000 ლარით, V-VI კლასების - 3000 ლარით.</w:t>
      </w:r>
    </w:p>
    <w:p w:rsidR="003F33F5" w:rsidRPr="00A15023" w:rsidRDefault="00A15023">
      <w:pPr>
        <w:pStyle w:val="Heading2"/>
        <w:ind w:left="648" w:hanging="180"/>
        <w:contextualSpacing w:val="0"/>
        <w:jc w:val="both"/>
        <w:rPr>
          <w:color w:val="auto"/>
        </w:rPr>
      </w:pPr>
      <w:bookmarkStart w:id="5" w:name="_976l8xkd35ie" w:colFirst="0" w:colLast="0"/>
      <w:bookmarkEnd w:id="5"/>
      <w:r w:rsidRPr="00A15023">
        <w:rPr>
          <w:rFonts w:ascii="Arial Unicode MS" w:eastAsia="Arial Unicode MS" w:hAnsi="Arial Unicode MS" w:cs="Arial Unicode MS"/>
          <w:color w:val="auto"/>
        </w:rPr>
        <w:t>გ</w:t>
      </w:r>
      <w:r w:rsidRPr="00A15023">
        <w:rPr>
          <w:color w:val="auto"/>
        </w:rPr>
        <w:t xml:space="preserve">) </w:t>
      </w:r>
      <w:r w:rsidRPr="00A15023">
        <w:rPr>
          <w:rFonts w:ascii="Arial Unicode MS" w:eastAsia="Arial Unicode MS" w:hAnsi="Arial Unicode MS" w:cs="Arial Unicode MS"/>
          <w:color w:val="auto"/>
        </w:rPr>
        <w:t>ჰონორარი</w:t>
      </w:r>
      <w:r w:rsidRPr="00A15023">
        <w:rPr>
          <w:color w:val="auto"/>
        </w:rPr>
        <w:t xml:space="preserve"> </w:t>
      </w:r>
      <w:r w:rsidRPr="00A15023">
        <w:rPr>
          <w:rFonts w:ascii="Arial Unicode MS" w:eastAsia="Arial Unicode MS" w:hAnsi="Arial Unicode MS" w:cs="Arial Unicode MS"/>
          <w:color w:val="auto"/>
        </w:rPr>
        <w:t>ტირაჟის ოდენობიდან</w:t>
      </w:r>
    </w:p>
    <w:p w:rsidR="003F33F5" w:rsidRPr="00A15023" w:rsidRDefault="00A15023">
      <w:pPr>
        <w:ind w:left="468"/>
        <w:jc w:val="both"/>
        <w:rPr>
          <w:color w:val="auto"/>
        </w:rPr>
      </w:pPr>
      <w:r w:rsidRPr="00A15023">
        <w:rPr>
          <w:rFonts w:ascii="Arial Unicode MS" w:eastAsia="Arial Unicode MS" w:hAnsi="Arial Unicode MS" w:cs="Arial Unicode MS"/>
          <w:color w:val="auto"/>
        </w:rPr>
        <w:t>ჰონორარის  ოდენობა იანგარიშება გრიფმინიჭებული სახელმძღვანელოების ტირაჟიდან, რომელსაც დაბეჭდავს სამინისტრო ან მის დაქვემდებარებაში მყოფი დაწესებულება  (იხ. “</w:t>
      </w:r>
      <w:r w:rsidRPr="00A15023">
        <w:rPr>
          <w:rFonts w:ascii="Arial Unicode MS" w:eastAsia="Arial Unicode MS" w:hAnsi="Arial Unicode MS" w:cs="Arial Unicode MS"/>
          <w:color w:val="auto"/>
          <w:highlight w:val="white"/>
        </w:rPr>
        <w:t>საავტორო ჰონორარი გრიფმინიჭებულ სახელმძღვანელოზე/სერიაზე</w:t>
      </w:r>
      <w:r w:rsidRPr="00A15023">
        <w:rPr>
          <w:color w:val="auto"/>
        </w:rPr>
        <w:t>”)</w:t>
      </w:r>
      <w:r w:rsidRPr="00A15023">
        <w:rPr>
          <w:rFonts w:ascii="Arial Unicode MS" w:eastAsia="Arial Unicode MS" w:hAnsi="Arial Unicode MS" w:cs="Arial Unicode MS"/>
          <w:color w:val="auto"/>
        </w:rPr>
        <w:t>. ჰონორარის ეს სახე მოიცავს გრიფმინიჭებული მასწავლებლის წიგნის და ელექტრონულ რესურსის, ასევე, საავტორო უფლების მფლობელის მიერ სახელმძღვანელოს/სერიის განახლებისათვის (ასეთის არსებობის შემთხვევაში) გაწეულ ყველა ხარჯს.</w:t>
      </w:r>
      <w:r w:rsidRPr="00A15023">
        <w:rPr>
          <w:color w:val="auto"/>
        </w:rPr>
        <w:t xml:space="preserve"> </w:t>
      </w:r>
      <w:r w:rsidRPr="00A15023">
        <w:rPr>
          <w:rFonts w:ascii="Arial Unicode MS" w:eastAsia="Arial Unicode MS" w:hAnsi="Arial Unicode MS" w:cs="Arial Unicode MS"/>
          <w:color w:val="auto"/>
        </w:rPr>
        <w:t>ამ სახის ჰონორარის მოცულობა წარმოადგენს ტენდერის საგანს, რა დროსაც მხედველობაში მიიღება საავტორო უფლების მფლობელის მიერ გარანტორისათვის წარდგენილი, მისთვის მისაღები ფასდაკლების (პროცენტი) ოდენობა სააგენტოს მიერ დადგენილი ზღვრული ფასიდან (იხ. “</w:t>
      </w:r>
      <w:r w:rsidRPr="00A15023">
        <w:rPr>
          <w:rFonts w:ascii="Arial Unicode MS" w:eastAsia="Arial Unicode MS" w:hAnsi="Arial Unicode MS" w:cs="Arial Unicode MS"/>
          <w:color w:val="auto"/>
          <w:highlight w:val="white"/>
        </w:rPr>
        <w:t>საავტორო ჰონორარი გრიფმინიჭებულ სახელმძღვანელოზე/სერიაზე</w:t>
      </w:r>
      <w:r w:rsidRPr="00A15023">
        <w:rPr>
          <w:color w:val="auto"/>
        </w:rPr>
        <w:t>”).</w:t>
      </w:r>
    </w:p>
    <w:p w:rsidR="003F33F5" w:rsidRPr="00A15023" w:rsidRDefault="003F33F5">
      <w:pPr>
        <w:ind w:left="468"/>
        <w:jc w:val="both"/>
        <w:rPr>
          <w:color w:val="auto"/>
        </w:rPr>
      </w:pPr>
    </w:p>
    <w:p w:rsidR="003F33F5" w:rsidRPr="00A15023" w:rsidRDefault="00A15023">
      <w:pPr>
        <w:ind w:left="468"/>
        <w:jc w:val="both"/>
        <w:rPr>
          <w:color w:val="auto"/>
        </w:rPr>
      </w:pPr>
      <w:r w:rsidRPr="00A15023">
        <w:rPr>
          <w:rFonts w:ascii="Arial Unicode MS" w:eastAsia="Arial Unicode MS" w:hAnsi="Arial Unicode MS" w:cs="Arial Unicode MS"/>
          <w:color w:val="auto"/>
        </w:rPr>
        <w:t>დამატებითი განხილვის საგანს წარმოადგენს 10000 წიგნისა და რვეულის ჰონორარის წინასწარი ანაზღაურება.</w:t>
      </w:r>
    </w:p>
    <w:p w:rsidR="003F33F5" w:rsidRPr="00A15023" w:rsidRDefault="003F33F5">
      <w:pPr>
        <w:ind w:left="468"/>
        <w:jc w:val="both"/>
        <w:rPr>
          <w:color w:val="auto"/>
        </w:rPr>
      </w:pPr>
    </w:p>
    <w:p w:rsidR="003F33F5" w:rsidRPr="00A15023" w:rsidRDefault="00A15023">
      <w:pPr>
        <w:ind w:left="468"/>
        <w:jc w:val="both"/>
        <w:rPr>
          <w:color w:val="auto"/>
        </w:rPr>
      </w:pPr>
      <w:r w:rsidRPr="00A15023">
        <w:rPr>
          <w:rFonts w:ascii="Arial Unicode MS" w:eastAsia="Arial Unicode MS" w:hAnsi="Arial Unicode MS" w:cs="Arial Unicode MS"/>
          <w:color w:val="auto"/>
        </w:rPr>
        <w:t xml:space="preserve">ჰონორარი ტირაჟის ოდენობიდან აისახება სალიცენზიო ხელშეკრულებაში და მოქმედებს შესაბამის სახელმძღვანელოს/სერიის გრიფის მოქმედების ვადით. </w:t>
      </w:r>
    </w:p>
    <w:p w:rsidR="003F33F5" w:rsidRPr="00A15023" w:rsidRDefault="00A15023">
      <w:pPr>
        <w:pStyle w:val="Heading2"/>
        <w:ind w:left="648" w:hanging="180"/>
        <w:contextualSpacing w:val="0"/>
        <w:jc w:val="both"/>
        <w:rPr>
          <w:color w:val="auto"/>
        </w:rPr>
      </w:pPr>
      <w:bookmarkStart w:id="6" w:name="_4qlqbji2cp0r" w:colFirst="0" w:colLast="0"/>
      <w:bookmarkEnd w:id="6"/>
      <w:r w:rsidRPr="00A15023">
        <w:rPr>
          <w:rFonts w:ascii="Arial Unicode MS" w:eastAsia="Arial Unicode MS" w:hAnsi="Arial Unicode MS" w:cs="Arial Unicode MS"/>
          <w:color w:val="auto"/>
        </w:rPr>
        <w:t xml:space="preserve">დ) გრიფმინიჭებულ სახელმძღვანელოში შემავალი ნაწარმოების ავტორთა ჰონორარი </w:t>
      </w:r>
    </w:p>
    <w:p w:rsidR="003F33F5" w:rsidRDefault="00A15023">
      <w:pPr>
        <w:ind w:left="468"/>
        <w:jc w:val="both"/>
        <w:rPr>
          <w:rFonts w:ascii="Arial Unicode MS" w:eastAsia="Arial Unicode MS" w:hAnsi="Arial Unicode MS" w:cs="Arial Unicode MS"/>
          <w:color w:val="auto"/>
        </w:rPr>
      </w:pPr>
      <w:r w:rsidRPr="00A15023">
        <w:rPr>
          <w:rFonts w:ascii="Arial Unicode MS" w:eastAsia="Arial Unicode MS" w:hAnsi="Arial Unicode MS" w:cs="Arial Unicode MS"/>
          <w:color w:val="auto"/>
        </w:rPr>
        <w:t>გრიფმინიჭებულ სახელმძღვანელოში გამოყენებული მესამე პირების ნაწარმოებების ავტორთა საავტორო უფლებით სარგებლობისათვის გასაწევი გარდაუვალი ხარჯების (ჰონორარის) გათვალისიწინებით, დადგენილი ზღვრული მოცულობის ფარგლებში გაიცემა ფიქსირებული თანხა დანართის შესაბამისად (იხ. “</w:t>
      </w:r>
      <w:r w:rsidRPr="00A15023">
        <w:rPr>
          <w:rFonts w:ascii="Arial Unicode MS" w:eastAsia="Arial Unicode MS" w:hAnsi="Arial Unicode MS" w:cs="Arial Unicode MS"/>
          <w:color w:val="auto"/>
          <w:highlight w:val="white"/>
        </w:rPr>
        <w:t>საავტორო ჰონორარი გრიფმინიჭებულ სახელმძღვანელოზე/სერიაზე</w:t>
      </w:r>
      <w:r w:rsidRPr="00A15023">
        <w:rPr>
          <w:color w:val="auto"/>
        </w:rPr>
        <w:t xml:space="preserve">”) </w:t>
      </w:r>
      <w:r w:rsidRPr="00A15023">
        <w:rPr>
          <w:rFonts w:ascii="Arial Unicode MS" w:eastAsia="Arial Unicode MS" w:hAnsi="Arial Unicode MS" w:cs="Arial Unicode MS"/>
          <w:color w:val="auto"/>
        </w:rPr>
        <w:t xml:space="preserve">აღნიშნული თანხის გაცემის საფუძველს წარმოადგენს საავტორო უფლების მფლობელის მიერ წარმოდგენილი </w:t>
      </w:r>
      <w:r w:rsidRPr="00A15023">
        <w:rPr>
          <w:rFonts w:ascii="Arial Unicode MS" w:eastAsia="Arial Unicode MS" w:hAnsi="Arial Unicode MS" w:cs="Arial Unicode MS"/>
          <w:color w:val="auto"/>
        </w:rPr>
        <w:lastRenderedPageBreak/>
        <w:t>ხელშეკრულება მესამე პირის ნაწარმოების გამოყენებისა და შესაბამისი ჰონორარის შესახებ.</w:t>
      </w:r>
    </w:p>
    <w:p w:rsidR="00A15023" w:rsidRPr="00A15023" w:rsidRDefault="00A15023">
      <w:pPr>
        <w:ind w:left="468"/>
        <w:jc w:val="both"/>
        <w:rPr>
          <w:color w:val="auto"/>
        </w:rPr>
      </w:pPr>
    </w:p>
    <w:p w:rsidR="003F33F5" w:rsidRPr="00A15023" w:rsidRDefault="00A15023">
      <w:pPr>
        <w:pStyle w:val="Heading1"/>
        <w:numPr>
          <w:ilvl w:val="0"/>
          <w:numId w:val="1"/>
        </w:numPr>
        <w:ind w:left="384" w:hanging="360"/>
        <w:rPr>
          <w:color w:val="auto"/>
          <w:sz w:val="22"/>
          <w:szCs w:val="22"/>
        </w:rPr>
      </w:pPr>
      <w:bookmarkStart w:id="7" w:name="_7q5ddv9c9ktl" w:colFirst="0" w:colLast="0"/>
      <w:bookmarkEnd w:id="7"/>
      <w:r w:rsidRPr="00A15023">
        <w:rPr>
          <w:rFonts w:ascii="Arial Unicode MS" w:eastAsia="Arial Unicode MS" w:hAnsi="Arial Unicode MS" w:cs="Arial Unicode MS"/>
          <w:color w:val="auto"/>
          <w:sz w:val="22"/>
          <w:szCs w:val="22"/>
        </w:rPr>
        <w:t>ტენდერის ჩატარების პრინციპები და პირობები</w:t>
      </w:r>
    </w:p>
    <w:p w:rsidR="003F33F5" w:rsidRPr="00A15023" w:rsidRDefault="00A15023">
      <w:pPr>
        <w:jc w:val="both"/>
        <w:rPr>
          <w:color w:val="auto"/>
        </w:rPr>
      </w:pPr>
      <w:r w:rsidRPr="00A15023">
        <w:rPr>
          <w:rFonts w:ascii="Arial Unicode MS" w:eastAsia="Arial Unicode MS" w:hAnsi="Arial Unicode MS" w:cs="Arial Unicode MS"/>
          <w:color w:val="auto"/>
        </w:rPr>
        <w:t>ტენდერი ტარდება ჰონორარზე ტირაჟის ოდენობიდან. ტენდერის საგანს წარმოადგენს დისკონტირების პროცენტი ჰონორარის ზღვრული ფასიდან, რომელიც მოცემულია დანართში (იხ. “</w:t>
      </w:r>
      <w:r w:rsidRPr="00A15023">
        <w:rPr>
          <w:rFonts w:ascii="Arial Unicode MS" w:eastAsia="Arial Unicode MS" w:hAnsi="Arial Unicode MS" w:cs="Arial Unicode MS"/>
          <w:color w:val="auto"/>
          <w:highlight w:val="white"/>
        </w:rPr>
        <w:t>საავტორო ჰონორარი გრიფმინიჭებულ სახელმძღვანელოზე/სერიაზე</w:t>
      </w:r>
      <w:r w:rsidRPr="00A15023">
        <w:rPr>
          <w:color w:val="auto"/>
        </w:rPr>
        <w:t xml:space="preserve">”) </w:t>
      </w:r>
      <w:r w:rsidRPr="00A15023">
        <w:rPr>
          <w:rFonts w:ascii="Arial Unicode MS" w:eastAsia="Arial Unicode MS" w:hAnsi="Arial Unicode MS" w:cs="Arial Unicode MS"/>
          <w:color w:val="auto"/>
        </w:rPr>
        <w:t>. ტენდერი ტარდება გრიფირების ფარგლებში მიღებული სერიის საბოლოო ქულისა (ხარისხის კომპონენტი) და დისკონტირების პროცენტის (ფასის კომპონენტი) შეწონვის მეთოდით.</w:t>
      </w:r>
    </w:p>
    <w:p w:rsidR="003F33F5" w:rsidRDefault="00A15023">
      <w:pPr>
        <w:jc w:val="both"/>
        <w:rPr>
          <w:rFonts w:ascii="Arial Unicode MS" w:eastAsia="Arial Unicode MS" w:hAnsi="Arial Unicode MS" w:cs="Arial Unicode MS"/>
          <w:color w:val="auto"/>
        </w:rPr>
      </w:pPr>
      <w:r w:rsidRPr="00A15023">
        <w:rPr>
          <w:rFonts w:ascii="Arial Unicode MS" w:eastAsia="Arial Unicode MS" w:hAnsi="Arial Unicode MS" w:cs="Arial Unicode MS"/>
          <w:color w:val="auto"/>
        </w:rPr>
        <w:t>ამ ეტაპზე, გამომცემლებთან კონსულტაციების საფუძველზე, სამინისტრო განიხილავს შეფასების 2 მოდელს:</w:t>
      </w:r>
    </w:p>
    <w:p w:rsidR="00A15023" w:rsidRPr="00A15023" w:rsidRDefault="00A15023">
      <w:pPr>
        <w:jc w:val="both"/>
        <w:rPr>
          <w:color w:val="auto"/>
        </w:rPr>
      </w:pPr>
    </w:p>
    <w:p w:rsidR="003F33F5" w:rsidRPr="00A15023" w:rsidRDefault="00A15023">
      <w:pPr>
        <w:pStyle w:val="Heading2"/>
        <w:contextualSpacing w:val="0"/>
        <w:jc w:val="both"/>
        <w:rPr>
          <w:color w:val="auto"/>
        </w:rPr>
      </w:pPr>
      <w:bookmarkStart w:id="8" w:name="_ycxm114rtlcf" w:colFirst="0" w:colLast="0"/>
      <w:bookmarkEnd w:id="8"/>
      <w:r w:rsidRPr="00A15023">
        <w:rPr>
          <w:rFonts w:ascii="Arial Unicode MS" w:eastAsia="Arial Unicode MS" w:hAnsi="Arial Unicode MS" w:cs="Arial Unicode MS"/>
          <w:color w:val="auto"/>
        </w:rPr>
        <w:t>ა</w:t>
      </w:r>
      <w:r w:rsidRPr="00A15023">
        <w:rPr>
          <w:color w:val="auto"/>
        </w:rPr>
        <w:t>)</w:t>
      </w:r>
      <w:r w:rsidRPr="00A15023">
        <w:rPr>
          <w:rFonts w:ascii="Arial Unicode MS" w:eastAsia="Arial Unicode MS" w:hAnsi="Arial Unicode MS" w:cs="Arial Unicode MS"/>
          <w:color w:val="auto"/>
        </w:rPr>
        <w:t xml:space="preserve"> ძირითადი მოდელი, რომელიც შემუშავდა მსოფლიო ბანკის სახელმძღვანელოების შეძენის რეკომენდაციების საფუძველზე</w:t>
      </w:r>
    </w:p>
    <w:p w:rsidR="003F33F5" w:rsidRDefault="00A15023">
      <w:pPr>
        <w:ind w:left="468"/>
        <w:jc w:val="both"/>
        <w:rPr>
          <w:rFonts w:ascii="Arial Unicode MS" w:eastAsia="Arial Unicode MS" w:hAnsi="Arial Unicode MS" w:cs="Arial Unicode MS"/>
          <w:color w:val="auto"/>
          <w:lang w:val="ka-GE"/>
        </w:rPr>
      </w:pPr>
      <w:r w:rsidRPr="00A15023">
        <w:rPr>
          <w:rFonts w:ascii="Arial Unicode MS" w:eastAsia="Arial Unicode MS" w:hAnsi="Arial Unicode MS" w:cs="Arial Unicode MS"/>
          <w:color w:val="auto"/>
        </w:rPr>
        <w:t>ამ მოდელის ფარგლებში, ხდება სერიის საბოლოო ქულისა და დისკონტის პროცენტის შეჯამება 70%(ხარისხი)/30%(ფასი) პრინციპით, შემდეგი ფორმულით</w:t>
      </w:r>
      <w:r>
        <w:rPr>
          <w:rFonts w:ascii="Arial Unicode MS" w:eastAsia="Arial Unicode MS" w:hAnsi="Arial Unicode MS" w:cs="Arial Unicode MS"/>
          <w:color w:val="auto"/>
          <w:lang w:val="ka-GE"/>
        </w:rPr>
        <w:t>:</w:t>
      </w:r>
    </w:p>
    <w:p w:rsidR="00A15023" w:rsidRPr="00A15023" w:rsidRDefault="00A15023">
      <w:pPr>
        <w:ind w:left="468"/>
        <w:jc w:val="both"/>
        <w:rPr>
          <w:color w:val="auto"/>
          <w:lang w:val="ka-GE"/>
        </w:rPr>
      </w:pPr>
    </w:p>
    <w:p w:rsidR="003F33F5" w:rsidRPr="00A15023" w:rsidRDefault="003F33F5">
      <w:pPr>
        <w:ind w:left="468"/>
        <w:jc w:val="both"/>
        <w:rPr>
          <w:color w:val="auto"/>
        </w:rPr>
      </w:pPr>
    </w:p>
    <w:p w:rsidR="003F33F5" w:rsidRPr="00A15023" w:rsidRDefault="00C75F38">
      <w:pPr>
        <w:jc w:val="center"/>
        <w:rPr>
          <w:color w:val="auto"/>
        </w:rPr>
      </w:pPr>
      <m:oMathPara>
        <m:oMath>
          <m:sSub>
            <m:sSubPr>
              <m:ctrlPr>
                <w:rPr>
                  <w:rFonts w:ascii="Cambria Math" w:hAnsi="Cambria Math"/>
                  <w:color w:val="auto"/>
                </w:rPr>
              </m:ctrlPr>
            </m:sSubPr>
            <m:e>
              <m:r>
                <m:rPr>
                  <m:sty m:val="p"/>
                </m:rPr>
                <w:rPr>
                  <w:rFonts w:ascii="Cambria Math" w:hAnsi="Cambria Math"/>
                  <w:color w:val="auto"/>
                </w:rPr>
                <m:t>S</m:t>
              </m:r>
            </m:e>
            <m:sub>
              <m:r>
                <m:rPr>
                  <m:sty m:val="p"/>
                </m:rPr>
                <w:rPr>
                  <w:rFonts w:ascii="Cambria Math" w:hAnsi="Cambria Math"/>
                  <w:color w:val="auto"/>
                </w:rPr>
                <m:t>B</m:t>
              </m:r>
            </m:sub>
          </m:sSub>
          <m:r>
            <m:rPr>
              <m:sty m:val="p"/>
            </m:rP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min</m:t>
                  </m:r>
                </m:sub>
              </m:sSub>
            </m:num>
            <m:den>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B</m:t>
                  </m:r>
                </m:sub>
              </m:sSub>
            </m:den>
          </m:f>
          <m:r>
            <m:rPr>
              <m:sty m:val="p"/>
            </m:rPr>
            <w:rPr>
              <w:rFonts w:ascii="Cambria Math" w:hAnsi="Cambria Math"/>
              <w:color w:val="auto"/>
            </w:rPr>
            <m:t>X*100+T(1-X)</m:t>
          </m:r>
        </m:oMath>
      </m:oMathPara>
    </w:p>
    <w:p w:rsidR="003F33F5" w:rsidRPr="00A15023" w:rsidRDefault="00A15023">
      <w:pPr>
        <w:jc w:val="both"/>
        <w:rPr>
          <w:color w:val="auto"/>
        </w:rPr>
      </w:pPr>
      <w:r w:rsidRPr="00A15023">
        <w:rPr>
          <w:color w:val="auto"/>
        </w:rPr>
        <w:tab/>
      </w:r>
      <w:r w:rsidRPr="00A15023">
        <w:rPr>
          <w:rFonts w:ascii="Arial Unicode MS" w:eastAsia="Arial Unicode MS" w:hAnsi="Arial Unicode MS" w:cs="Arial Unicode MS"/>
          <w:color w:val="auto"/>
        </w:rPr>
        <w:t>სადაც:</w:t>
      </w:r>
      <w:bookmarkStart w:id="9" w:name="_GoBack"/>
      <w:bookmarkEnd w:id="9"/>
    </w:p>
    <w:p w:rsidR="003F33F5" w:rsidRPr="00A15023" w:rsidRDefault="00A15023">
      <w:pPr>
        <w:jc w:val="both"/>
        <w:rPr>
          <w:color w:val="auto"/>
        </w:rPr>
      </w:pPr>
      <w:r w:rsidRPr="00A15023">
        <w:rPr>
          <w:color w:val="auto"/>
        </w:rPr>
        <w:br/>
      </w:r>
      <w:r w:rsidRPr="00A15023">
        <w:rPr>
          <w:color w:val="auto"/>
        </w:rPr>
        <w:tab/>
      </w:r>
      <m:oMath>
        <m:sSub>
          <m:sSubPr>
            <m:ctrlPr>
              <w:rPr>
                <w:rFonts w:ascii="Cambria Math" w:hAnsi="Cambria Math"/>
                <w:color w:val="auto"/>
              </w:rPr>
            </m:ctrlPr>
          </m:sSubPr>
          <m:e>
            <m:r>
              <m:rPr>
                <m:sty m:val="p"/>
              </m:rPr>
              <w:rPr>
                <w:rFonts w:ascii="Cambria Math" w:hAnsi="Cambria Math"/>
                <w:color w:val="auto"/>
              </w:rPr>
              <m:t>S</m:t>
            </m:r>
          </m:e>
          <m:sub>
            <m:r>
              <m:rPr>
                <m:sty m:val="p"/>
              </m:rPr>
              <w:rPr>
                <w:rFonts w:ascii="Cambria Math" w:hAnsi="Cambria Math"/>
                <w:color w:val="auto"/>
              </w:rPr>
              <m:t>B</m:t>
            </m:r>
          </m:sub>
        </m:sSub>
      </m:oMath>
      <w:r w:rsidRPr="00A15023">
        <w:rPr>
          <w:rFonts w:ascii="Arial Unicode MS" w:eastAsia="Arial Unicode MS" w:hAnsi="Arial Unicode MS" w:cs="Arial Unicode MS"/>
          <w:color w:val="auto"/>
        </w:rPr>
        <w:t>არის განაცხადის შემაჯამებელი ქულა</w:t>
      </w:r>
    </w:p>
    <w:p w:rsidR="003F33F5" w:rsidRPr="00A15023" w:rsidRDefault="00C75F38">
      <w:pPr>
        <w:ind w:left="468" w:firstLine="251"/>
        <w:jc w:val="both"/>
        <w:rPr>
          <w:color w:val="auto"/>
        </w:rPr>
      </w:pPr>
      <m:oMath>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B</m:t>
            </m:r>
          </m:sub>
        </m:sSub>
      </m:oMath>
      <w:r w:rsidR="00A15023" w:rsidRPr="00A15023">
        <w:rPr>
          <w:rFonts w:ascii="Arial Unicode MS" w:eastAsia="Arial Unicode MS" w:hAnsi="Arial Unicode MS" w:cs="Arial Unicode MS"/>
          <w:color w:val="auto"/>
        </w:rPr>
        <w:t>არის განაცხადის დისკონტირებული ფასი (100% მინუს დისკონტი)</w:t>
      </w:r>
    </w:p>
    <w:p w:rsidR="003F33F5" w:rsidRPr="00A15023" w:rsidRDefault="00C75F38">
      <w:pPr>
        <w:ind w:left="468" w:firstLine="251"/>
        <w:jc w:val="both"/>
        <w:rPr>
          <w:color w:val="auto"/>
        </w:rPr>
      </w:pPr>
      <m:oMath>
        <m:sSub>
          <m:sSubPr>
            <m:ctrlPr>
              <w:rPr>
                <w:rFonts w:ascii="Cambria Math" w:hAnsi="Cambria Math"/>
                <w:color w:val="auto"/>
              </w:rPr>
            </m:ctrlPr>
          </m:sSubPr>
          <m:e>
            <m:r>
              <m:rPr>
                <m:sty m:val="p"/>
              </m:rPr>
              <w:rPr>
                <w:rFonts w:ascii="Cambria Math" w:hAnsi="Cambria Math"/>
                <w:color w:val="auto"/>
              </w:rPr>
              <m:t>C</m:t>
            </m:r>
          </m:e>
          <m:sub>
            <m:r>
              <m:rPr>
                <m:sty m:val="p"/>
              </m:rPr>
              <w:rPr>
                <w:rFonts w:ascii="Cambria Math" w:hAnsi="Cambria Math"/>
                <w:color w:val="auto"/>
              </w:rPr>
              <m:t>min</m:t>
            </m:r>
          </m:sub>
        </m:sSub>
      </m:oMath>
      <w:r w:rsidR="00A15023" w:rsidRPr="00A15023">
        <w:rPr>
          <w:rFonts w:ascii="Arial Unicode MS" w:eastAsia="Arial Unicode MS" w:hAnsi="Arial Unicode MS" w:cs="Arial Unicode MS"/>
          <w:color w:val="auto"/>
        </w:rPr>
        <w:t>არის ყველაზე დაბალი დისკონტირებული ფასის მქონე განაცხადი</w:t>
      </w:r>
    </w:p>
    <w:p w:rsidR="003F33F5" w:rsidRPr="00A15023" w:rsidRDefault="00C75F38">
      <w:pPr>
        <w:ind w:left="468" w:firstLine="251"/>
        <w:jc w:val="both"/>
        <w:rPr>
          <w:color w:val="auto"/>
        </w:rPr>
      </w:pPr>
      <m:oMath>
        <m:sSub>
          <m:sSubPr>
            <m:ctrlPr>
              <w:rPr>
                <w:rFonts w:ascii="Cambria Math" w:hAnsi="Cambria Math"/>
                <w:color w:val="auto"/>
              </w:rPr>
            </m:ctrlPr>
          </m:sSubPr>
          <m:e>
            <m:r>
              <m:rPr>
                <m:sty m:val="p"/>
              </m:rPr>
              <w:rPr>
                <w:rFonts w:ascii="Cambria Math" w:hAnsi="Cambria Math"/>
                <w:color w:val="auto"/>
              </w:rPr>
              <m:t>T</m:t>
            </m:r>
          </m:e>
          <m:sub/>
        </m:sSub>
      </m:oMath>
      <w:r w:rsidR="00A15023" w:rsidRPr="00A15023">
        <w:rPr>
          <w:rFonts w:ascii="Arial Unicode MS" w:eastAsia="Arial Unicode MS" w:hAnsi="Arial Unicode MS" w:cs="Arial Unicode MS"/>
          <w:color w:val="auto"/>
        </w:rPr>
        <w:t>არის განაცხადის შემაჯამებელი ქულა</w:t>
      </w:r>
    </w:p>
    <w:p w:rsidR="003F33F5" w:rsidRPr="00A15023" w:rsidRDefault="00A15023">
      <w:pPr>
        <w:ind w:left="468" w:firstLine="251"/>
        <w:jc w:val="both"/>
        <w:rPr>
          <w:color w:val="auto"/>
        </w:rPr>
      </w:pPr>
      <m:oMath>
        <m:r>
          <m:rPr>
            <m:sty m:val="p"/>
          </m:rPr>
          <w:rPr>
            <w:rFonts w:ascii="Cambria Math" w:hAnsi="Cambria Math"/>
            <w:color w:val="auto"/>
          </w:rPr>
          <m:t>X</m:t>
        </m:r>
      </m:oMath>
      <w:r w:rsidRPr="00A15023">
        <w:rPr>
          <w:color w:val="auto"/>
        </w:rPr>
        <w:t xml:space="preserve"> </w:t>
      </w:r>
      <w:r w:rsidRPr="00A15023">
        <w:rPr>
          <w:rFonts w:ascii="Arial Unicode MS" w:eastAsia="Arial Unicode MS" w:hAnsi="Arial Unicode MS" w:cs="Arial Unicode MS"/>
          <w:color w:val="auto"/>
        </w:rPr>
        <w:t>არის ფასის წონა, ამ შემთხვევაში 0.3</w:t>
      </w:r>
    </w:p>
    <w:p w:rsidR="003F33F5" w:rsidRPr="00A15023" w:rsidRDefault="003F33F5">
      <w:pPr>
        <w:ind w:left="468" w:firstLine="251"/>
        <w:jc w:val="both"/>
        <w:rPr>
          <w:color w:val="auto"/>
        </w:rPr>
      </w:pPr>
    </w:p>
    <w:p w:rsidR="003F33F5" w:rsidRDefault="00A15023">
      <w:pPr>
        <w:ind w:left="468"/>
        <w:jc w:val="both"/>
        <w:rPr>
          <w:rFonts w:ascii="Arial Unicode MS" w:eastAsia="Arial Unicode MS" w:hAnsi="Arial Unicode MS" w:cs="Arial Unicode MS"/>
          <w:color w:val="auto"/>
        </w:rPr>
      </w:pPr>
      <w:r w:rsidRPr="00A15023">
        <w:rPr>
          <w:rFonts w:ascii="Arial Unicode MS" w:eastAsia="Arial Unicode MS" w:hAnsi="Arial Unicode MS" w:cs="Arial Unicode MS"/>
          <w:color w:val="auto"/>
        </w:rPr>
        <w:t>ცხრილში მოცემულია კონკრეტული შემთხვევა, როდესაც სერიის ნაკლები საბოლოო ქულის მქონე დისკონტირებული განაცხადი შემაჯამებელი ქულით სჯობნის 100 ქულიან დაუდისკონტირებელ განაცხადს.</w:t>
      </w:r>
    </w:p>
    <w:p w:rsidR="00A15023" w:rsidRPr="00A15023" w:rsidRDefault="00A15023">
      <w:pPr>
        <w:ind w:left="468"/>
        <w:jc w:val="both"/>
        <w:rPr>
          <w:color w:val="auto"/>
        </w:rPr>
      </w:pPr>
    </w:p>
    <w:p w:rsidR="003F33F5" w:rsidRPr="00A15023" w:rsidRDefault="003F33F5">
      <w:pPr>
        <w:ind w:left="468"/>
        <w:jc w:val="both"/>
        <w:rPr>
          <w:color w:val="auto"/>
        </w:rPr>
      </w:pPr>
    </w:p>
    <w:tbl>
      <w:tblPr>
        <w:tblStyle w:val="a"/>
        <w:tblW w:w="7200" w:type="dxa"/>
        <w:tblInd w:w="10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60"/>
        <w:gridCol w:w="1875"/>
        <w:gridCol w:w="3465"/>
      </w:tblGrid>
      <w:tr w:rsidR="00A15023" w:rsidRPr="00A15023">
        <w:trPr>
          <w:trHeight w:val="36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rFonts w:ascii="Arial Unicode MS" w:eastAsia="Arial Unicode MS" w:hAnsi="Arial Unicode MS" w:cs="Arial Unicode MS"/>
                <w:color w:val="auto"/>
              </w:rPr>
              <w:t>ქულა</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rFonts w:ascii="Arial Unicode MS" w:eastAsia="Arial Unicode MS" w:hAnsi="Arial Unicode MS" w:cs="Arial Unicode MS"/>
                <w:color w:val="auto"/>
              </w:rPr>
              <w:t>ფასი</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rFonts w:ascii="Arial Unicode MS" w:eastAsia="Arial Unicode MS" w:hAnsi="Arial Unicode MS" w:cs="Arial Unicode MS"/>
                <w:color w:val="auto"/>
              </w:rPr>
              <w:t>შემაჯამებელი</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lastRenderedPageBreak/>
              <w:t>100</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100%</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85.90</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99</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95%</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86.04</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95</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81%</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86.13</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90</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69%</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86.04</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85</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60%</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86.00</w:t>
            </w:r>
          </w:p>
        </w:tc>
      </w:tr>
      <w:tr w:rsidR="00A15023" w:rsidRPr="00A15023">
        <w:trPr>
          <w:trHeight w:val="300"/>
        </w:trPr>
        <w:tc>
          <w:tcPr>
            <w:tcW w:w="186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80</w:t>
            </w:r>
          </w:p>
        </w:tc>
        <w:tc>
          <w:tcPr>
            <w:tcW w:w="187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53%</w:t>
            </w:r>
          </w:p>
        </w:tc>
        <w:tc>
          <w:tcPr>
            <w:tcW w:w="34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86.00</w:t>
            </w:r>
          </w:p>
        </w:tc>
      </w:tr>
    </w:tbl>
    <w:p w:rsidR="003F33F5" w:rsidRPr="00A15023" w:rsidRDefault="003F33F5">
      <w:pPr>
        <w:ind w:left="468"/>
        <w:jc w:val="both"/>
        <w:rPr>
          <w:color w:val="auto"/>
        </w:rPr>
      </w:pPr>
    </w:p>
    <w:p w:rsidR="003F33F5" w:rsidRPr="00A15023" w:rsidRDefault="003F33F5">
      <w:pPr>
        <w:ind w:left="468"/>
        <w:jc w:val="both"/>
        <w:rPr>
          <w:color w:val="auto"/>
        </w:rPr>
      </w:pPr>
    </w:p>
    <w:p w:rsidR="003F33F5" w:rsidRPr="00A15023" w:rsidRDefault="00A15023">
      <w:pPr>
        <w:pStyle w:val="Heading2"/>
        <w:contextualSpacing w:val="0"/>
        <w:jc w:val="both"/>
        <w:rPr>
          <w:color w:val="auto"/>
        </w:rPr>
      </w:pPr>
      <w:bookmarkStart w:id="10" w:name="_eshssudl1t2t" w:colFirst="0" w:colLast="0"/>
      <w:bookmarkEnd w:id="10"/>
      <w:r w:rsidRPr="00A15023">
        <w:rPr>
          <w:rFonts w:ascii="Arial Unicode MS" w:eastAsia="Arial Unicode MS" w:hAnsi="Arial Unicode MS" w:cs="Arial Unicode MS"/>
          <w:color w:val="auto"/>
        </w:rPr>
        <w:t>ბ) ალტერნატიული მოდელი, რომელიც განხილული იქნა კონსულტაციების ფარგლებში.</w:t>
      </w:r>
    </w:p>
    <w:p w:rsidR="003F33F5" w:rsidRPr="00A15023" w:rsidRDefault="00A15023">
      <w:pPr>
        <w:ind w:left="468"/>
        <w:jc w:val="both"/>
        <w:rPr>
          <w:color w:val="auto"/>
        </w:rPr>
      </w:pPr>
      <w:r w:rsidRPr="00A15023">
        <w:rPr>
          <w:rFonts w:ascii="Arial Unicode MS" w:eastAsia="Arial Unicode MS" w:hAnsi="Arial Unicode MS" w:cs="Arial Unicode MS"/>
          <w:color w:val="auto"/>
        </w:rPr>
        <w:t>ალტერნატიული მოდელი ეყრდნობა სერიის საბოლოო ქულის რანგირებული სიის დისკონტირებას ფიქსირებული განაკვეთით.კერძოდ, სიის ყოველი მომდევნო განაცხადი წინასთან მიმართებაში იგებს განსაზღვრული პარამეტრით (ამ შემთხვევაში 4%) და მეტით დისკონტის წარმოდგენის პირობით.</w:t>
      </w:r>
    </w:p>
    <w:p w:rsidR="003F33F5" w:rsidRPr="00A15023" w:rsidRDefault="003F33F5">
      <w:pPr>
        <w:ind w:left="468"/>
        <w:jc w:val="both"/>
        <w:rPr>
          <w:color w:val="auto"/>
        </w:rPr>
      </w:pPr>
    </w:p>
    <w:p w:rsidR="003F33F5" w:rsidRPr="00A15023" w:rsidRDefault="00A15023">
      <w:pPr>
        <w:ind w:left="468"/>
        <w:jc w:val="both"/>
        <w:rPr>
          <w:color w:val="auto"/>
        </w:rPr>
      </w:pPr>
      <w:r w:rsidRPr="00A15023">
        <w:rPr>
          <w:rFonts w:ascii="Arial Unicode MS" w:eastAsia="Arial Unicode MS" w:hAnsi="Arial Unicode MS" w:cs="Arial Unicode MS"/>
          <w:color w:val="auto"/>
        </w:rPr>
        <w:t>ცხრილში მოცემულია უნიფიცირებული პრინციპი:</w:t>
      </w:r>
    </w:p>
    <w:p w:rsidR="003F33F5" w:rsidRPr="00A15023" w:rsidRDefault="003F33F5">
      <w:pPr>
        <w:ind w:left="468"/>
        <w:jc w:val="both"/>
        <w:rPr>
          <w:color w:val="auto"/>
        </w:rPr>
      </w:pPr>
    </w:p>
    <w:p w:rsidR="003F33F5" w:rsidRPr="00A15023" w:rsidRDefault="003F33F5">
      <w:pPr>
        <w:ind w:left="468"/>
        <w:jc w:val="both"/>
        <w:rPr>
          <w:color w:val="auto"/>
        </w:rPr>
      </w:pPr>
    </w:p>
    <w:tbl>
      <w:tblPr>
        <w:tblStyle w:val="a0"/>
        <w:tblW w:w="7095" w:type="dxa"/>
        <w:tblInd w:w="10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3765"/>
      </w:tblGrid>
      <w:tr w:rsidR="00A15023" w:rsidRPr="00A15023">
        <w:trPr>
          <w:trHeight w:val="36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rFonts w:ascii="Arial Unicode MS" w:eastAsia="Arial Unicode MS" w:hAnsi="Arial Unicode MS" w:cs="Arial Unicode MS"/>
                <w:color w:val="auto"/>
              </w:rPr>
              <w:t>რანგი</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rFonts w:ascii="Arial Unicode MS" w:eastAsia="Arial Unicode MS" w:hAnsi="Arial Unicode MS" w:cs="Arial Unicode MS"/>
                <w:color w:val="auto"/>
              </w:rPr>
              <w:t>გამარჯვების ფასი</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1</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100%</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2</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96%</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3</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92%</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4</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88%</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5</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84%</w:t>
            </w:r>
          </w:p>
        </w:tc>
      </w:tr>
      <w:tr w:rsidR="00A15023" w:rsidRPr="00A15023">
        <w:trPr>
          <w:trHeight w:val="300"/>
        </w:trPr>
        <w:tc>
          <w:tcPr>
            <w:tcW w:w="3330"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6</w:t>
            </w:r>
          </w:p>
        </w:tc>
        <w:tc>
          <w:tcPr>
            <w:tcW w:w="3765" w:type="dxa"/>
            <w:tcMar>
              <w:top w:w="40" w:type="dxa"/>
              <w:left w:w="40" w:type="dxa"/>
              <w:bottom w:w="40" w:type="dxa"/>
              <w:right w:w="40" w:type="dxa"/>
            </w:tcMar>
            <w:vAlign w:val="bottom"/>
          </w:tcPr>
          <w:p w:rsidR="003F33F5" w:rsidRPr="00A15023" w:rsidRDefault="00A15023">
            <w:pPr>
              <w:ind w:left="468"/>
              <w:jc w:val="both"/>
              <w:rPr>
                <w:color w:val="auto"/>
              </w:rPr>
            </w:pPr>
            <w:r w:rsidRPr="00A15023">
              <w:rPr>
                <w:color w:val="auto"/>
              </w:rPr>
              <w:t>80%</w:t>
            </w:r>
          </w:p>
        </w:tc>
      </w:tr>
    </w:tbl>
    <w:p w:rsidR="003F33F5" w:rsidRPr="00A15023" w:rsidRDefault="003F33F5">
      <w:pPr>
        <w:ind w:left="468"/>
        <w:jc w:val="both"/>
        <w:rPr>
          <w:color w:val="auto"/>
        </w:rPr>
      </w:pPr>
    </w:p>
    <w:p w:rsidR="003F33F5" w:rsidRPr="00A15023" w:rsidRDefault="003F33F5">
      <w:pPr>
        <w:ind w:left="468"/>
        <w:jc w:val="both"/>
        <w:rPr>
          <w:color w:val="auto"/>
        </w:rPr>
      </w:pPr>
    </w:p>
    <w:p w:rsidR="003F33F5" w:rsidRPr="00A15023" w:rsidRDefault="003F33F5">
      <w:pPr>
        <w:pStyle w:val="Heading2"/>
        <w:ind w:left="468" w:firstLine="0"/>
        <w:contextualSpacing w:val="0"/>
        <w:jc w:val="both"/>
        <w:rPr>
          <w:color w:val="auto"/>
        </w:rPr>
      </w:pPr>
      <w:bookmarkStart w:id="11" w:name="_g1318rw6p1nj" w:colFirst="0" w:colLast="0"/>
      <w:bookmarkEnd w:id="11"/>
    </w:p>
    <w:sectPr w:rsidR="003F33F5" w:rsidRPr="00A15023">
      <w:footerReference w:type="default" r:id="rId7"/>
      <w:pgSz w:w="11906" w:h="16838"/>
      <w:pgMar w:top="720" w:right="1152" w:bottom="720" w:left="1152"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F38" w:rsidRDefault="00C75F38" w:rsidP="00A15023">
      <w:pPr>
        <w:spacing w:line="240" w:lineRule="auto"/>
      </w:pPr>
      <w:r>
        <w:separator/>
      </w:r>
    </w:p>
  </w:endnote>
  <w:endnote w:type="continuationSeparator" w:id="0">
    <w:p w:rsidR="00C75F38" w:rsidRDefault="00C75F38" w:rsidP="00A150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443736"/>
      <w:docPartObj>
        <w:docPartGallery w:val="Page Numbers (Bottom of Page)"/>
        <w:docPartUnique/>
      </w:docPartObj>
    </w:sdtPr>
    <w:sdtEndPr>
      <w:rPr>
        <w:noProof/>
      </w:rPr>
    </w:sdtEndPr>
    <w:sdtContent>
      <w:p w:rsidR="00A15023" w:rsidRDefault="00A15023">
        <w:pPr>
          <w:pStyle w:val="Footer"/>
          <w:jc w:val="center"/>
        </w:pPr>
        <w:r>
          <w:fldChar w:fldCharType="begin"/>
        </w:r>
        <w:r>
          <w:instrText xml:space="preserve"> PAGE   \* MERGEFORMAT </w:instrText>
        </w:r>
        <w:r>
          <w:fldChar w:fldCharType="separate"/>
        </w:r>
        <w:r w:rsidR="006573DE">
          <w:rPr>
            <w:noProof/>
          </w:rPr>
          <w:t>4</w:t>
        </w:r>
        <w:r>
          <w:rPr>
            <w:noProof/>
          </w:rPr>
          <w:fldChar w:fldCharType="end"/>
        </w:r>
      </w:p>
    </w:sdtContent>
  </w:sdt>
  <w:p w:rsidR="00A15023" w:rsidRDefault="00A1502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F38" w:rsidRDefault="00C75F38" w:rsidP="00A15023">
      <w:pPr>
        <w:spacing w:line="240" w:lineRule="auto"/>
      </w:pPr>
      <w:r>
        <w:separator/>
      </w:r>
    </w:p>
  </w:footnote>
  <w:footnote w:type="continuationSeparator" w:id="0">
    <w:p w:rsidR="00C75F38" w:rsidRDefault="00C75F38" w:rsidP="00A150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83F0D"/>
    <w:multiLevelType w:val="multilevel"/>
    <w:tmpl w:val="2B8E6E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3F5"/>
    <w:rsid w:val="003F33F5"/>
    <w:rsid w:val="006573DE"/>
    <w:rsid w:val="00A15023"/>
    <w:rsid w:val="00C75F38"/>
    <w:rsid w:val="00E85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C0A2"/>
  <w15:docId w15:val="{DFFC9057-D0B9-4CE7-8F98-3049FB6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ind w:left="384" w:hanging="360"/>
      <w:contextualSpacing/>
      <w:jc w:val="both"/>
      <w:outlineLvl w:val="0"/>
    </w:pPr>
    <w:rPr>
      <w:b/>
      <w:sz w:val="24"/>
      <w:szCs w:val="24"/>
    </w:rPr>
  </w:style>
  <w:style w:type="paragraph" w:styleId="Heading2">
    <w:name w:val="heading 2"/>
    <w:basedOn w:val="Normal"/>
    <w:next w:val="Normal"/>
    <w:pPr>
      <w:keepNext/>
      <w:keepLines/>
      <w:spacing w:before="360" w:after="120"/>
      <w:ind w:left="738" w:hanging="270"/>
      <w:contextualSpacing/>
      <w:outlineLvl w:val="1"/>
    </w:pPr>
    <w:rPr>
      <w:b/>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b/>
      <w:sz w:val="36"/>
      <w:szCs w:val="36"/>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A15023"/>
    <w:pPr>
      <w:tabs>
        <w:tab w:val="center" w:pos="4680"/>
        <w:tab w:val="right" w:pos="9360"/>
      </w:tabs>
      <w:spacing w:line="240" w:lineRule="auto"/>
    </w:pPr>
  </w:style>
  <w:style w:type="character" w:customStyle="1" w:styleId="HeaderChar">
    <w:name w:val="Header Char"/>
    <w:basedOn w:val="DefaultParagraphFont"/>
    <w:link w:val="Header"/>
    <w:uiPriority w:val="99"/>
    <w:rsid w:val="00A15023"/>
  </w:style>
  <w:style w:type="paragraph" w:styleId="Footer">
    <w:name w:val="footer"/>
    <w:basedOn w:val="Normal"/>
    <w:link w:val="FooterChar"/>
    <w:uiPriority w:val="99"/>
    <w:unhideWhenUsed/>
    <w:rsid w:val="00A15023"/>
    <w:pPr>
      <w:tabs>
        <w:tab w:val="center" w:pos="4680"/>
        <w:tab w:val="right" w:pos="9360"/>
      </w:tabs>
      <w:spacing w:line="240" w:lineRule="auto"/>
    </w:pPr>
  </w:style>
  <w:style w:type="character" w:customStyle="1" w:styleId="FooterChar">
    <w:name w:val="Footer Char"/>
    <w:basedOn w:val="DefaultParagraphFont"/>
    <w:link w:val="Footer"/>
    <w:uiPriority w:val="99"/>
    <w:rsid w:val="00A15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გიგა კავლელიშვილი</dc:creator>
  <cp:lastModifiedBy>გიგა კავლელიშვილი</cp:lastModifiedBy>
  <cp:revision>2</cp:revision>
  <dcterms:created xsi:type="dcterms:W3CDTF">2017-04-28T12:01:00Z</dcterms:created>
  <dcterms:modified xsi:type="dcterms:W3CDTF">2017-04-28T12:01:00Z</dcterms:modified>
</cp:coreProperties>
</file>